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28"/>
          <w:szCs w:val="28"/>
          <w:u w:val="none"/>
          <w:lang w:eastAsia="zh-CN"/>
        </w:rPr>
      </w:pPr>
      <w:r>
        <w:rPr>
          <w:rFonts w:hint="eastAsia"/>
          <w:b/>
          <w:bCs/>
          <w:sz w:val="36"/>
          <w:szCs w:val="36"/>
          <w:u w:val="none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7：化学与环境学院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u w:val="none"/>
          <w:lang w:val="en-US" w:eastAsia="zh-CN"/>
        </w:rPr>
        <w:t>紫外可见分光光度计、酶标仪等购置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（联系人：吴老师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13824822121</w:t>
      </w:r>
      <w:r>
        <w:rPr>
          <w:rFonts w:hint="eastAsia" w:ascii="宋体" w:hAnsi="宋体" w:eastAsia="宋体" w:cs="宋体"/>
          <w:sz w:val="28"/>
          <w:szCs w:val="28"/>
          <w:u w:val="none"/>
          <w:lang w:eastAsia="zh-CN"/>
        </w:rPr>
        <w:t>）</w:t>
      </w:r>
    </w:p>
    <w:tbl>
      <w:tblPr>
        <w:tblStyle w:val="46"/>
        <w:tblW w:w="13480" w:type="dxa"/>
        <w:jc w:val="center"/>
        <w:tblInd w:w="-1342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0"/>
        <w:gridCol w:w="1024"/>
        <w:gridCol w:w="1300"/>
        <w:gridCol w:w="6314"/>
        <w:gridCol w:w="960"/>
        <w:gridCol w:w="1035"/>
        <w:gridCol w:w="1077"/>
        <w:gridCol w:w="990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序号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申购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货物名称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参照品牌/型号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技术参数及配置、商务条款和附件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jc w:val="center"/>
              <w:rPr>
                <w:rFonts w:cs="Times New Roman"/>
                <w:b/>
                <w:bCs/>
                <w:caps/>
                <w:u w:val="none"/>
                <w:lang w:val="zh-TW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币种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  <w:b/>
                <w:bCs/>
                <w:caps/>
                <w:u w:val="none"/>
                <w:lang w:val="zh-TW" w:eastAsia="zh-TW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单价</w:t>
            </w:r>
          </w:p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  <w:b/>
                <w:bCs/>
                <w:caps/>
                <w:u w:val="none"/>
                <w:lang w:val="zh-TW" w:eastAsia="zh-TW"/>
              </w:rPr>
            </w:pP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数量</w:t>
            </w:r>
          </w:p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（单位）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47"/>
              <w:spacing w:line="260" w:lineRule="exact"/>
              <w:jc w:val="center"/>
              <w:rPr>
                <w:rFonts w:cs="Times New Roman"/>
              </w:rPr>
            </w:pPr>
            <w:r>
              <w:rPr>
                <w:rFonts w:hint="eastAsia" w:cs="Times New Roman"/>
                <w:b/>
                <w:bCs/>
                <w:caps/>
                <w:u w:val="none"/>
                <w:lang w:val="zh-TW"/>
              </w:rPr>
              <w:t>小计</w:t>
            </w:r>
            <w:r>
              <w:rPr>
                <w:rFonts w:cs="Times New Roman"/>
                <w:b/>
                <w:bCs/>
                <w:caps/>
                <w:u w:val="none"/>
                <w:lang w:val="zh-TW" w:eastAsia="zh-TW"/>
              </w:rPr>
              <w:t>（元）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u w:val="none"/>
                <w:lang w:val="zh-TW" w:eastAsia="zh-TW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紫外可见分光光度计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TU-1810SPC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型</w:t>
            </w:r>
            <w:r>
              <w:rPr>
                <w:rFonts w:ascii="宋体" w:hAnsi="宋体" w:eastAsia="宋体"/>
                <w:sz w:val="21"/>
                <w:szCs w:val="21"/>
              </w:rPr>
              <w:t>(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带</w:t>
            </w:r>
            <w:r>
              <w:rPr>
                <w:rFonts w:ascii="宋体" w:hAnsi="宋体" w:eastAsia="宋体"/>
                <w:sz w:val="21"/>
                <w:szCs w:val="21"/>
              </w:rPr>
              <w:t>PC)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波长范围：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190nm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1100nm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波长准确度：</w:t>
            </w:r>
            <w:r>
              <w:rPr>
                <w:rFonts w:ascii="宋体" w:hAnsi="宋体" w:eastAsia="宋体"/>
                <w:sz w:val="21"/>
                <w:szCs w:val="21"/>
              </w:rPr>
              <w:t>±0.3nm(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开机自动校准</w:t>
            </w:r>
            <w:r>
              <w:rPr>
                <w:rFonts w:ascii="宋体" w:hAnsi="宋体" w:eastAsia="宋体"/>
                <w:sz w:val="21"/>
                <w:szCs w:val="21"/>
              </w:rPr>
              <w:t>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波长重复性：</w:t>
            </w:r>
            <w:r>
              <w:rPr>
                <w:rFonts w:ascii="宋体" w:hAnsi="宋体" w:eastAsia="宋体"/>
                <w:sz w:val="21"/>
                <w:szCs w:val="21"/>
              </w:rPr>
              <w:t>0.2nm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光谱带宽：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0.5nm,1.0nm,2.0nm,5.0nm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（可变狭缝）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杂散光：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&lt;0.3%T(220nm,NaI; 340nm,NaNo2)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光度方式：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透过率，吸光度，能量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光度范围：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-0.3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3.0Abs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光度准确度：</w:t>
            </w:r>
            <w:r>
              <w:rPr>
                <w:rFonts w:ascii="宋体" w:hAnsi="宋体" w:eastAsia="宋体"/>
                <w:sz w:val="21"/>
                <w:szCs w:val="21"/>
              </w:rPr>
              <w:t>±0.002Abs(0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0.5Abs)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sz w:val="21"/>
                <w:szCs w:val="21"/>
              </w:rPr>
              <w:t>±0.004Abs(0.5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1.0Abs)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sz w:val="21"/>
                <w:szCs w:val="21"/>
              </w:rPr>
              <w:t> ±0.3%T(0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100%T)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光度重复性：</w:t>
            </w:r>
            <w:r>
              <w:rPr>
                <w:rFonts w:ascii="宋体" w:hAnsi="宋体" w:eastAsia="宋体"/>
                <w:sz w:val="21"/>
                <w:szCs w:val="21"/>
              </w:rPr>
              <w:t>0.001Abs(0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0.5Abs)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sz w:val="21"/>
                <w:szCs w:val="21"/>
              </w:rPr>
              <w:t>0.002Abs(0.5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1.0Abs)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sz w:val="21"/>
                <w:szCs w:val="21"/>
              </w:rPr>
              <w:t> 0.15%T(0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100%T)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、基线平直度：</w:t>
            </w:r>
            <w:r>
              <w:rPr>
                <w:rFonts w:ascii="宋体" w:hAnsi="宋体" w:eastAsia="宋体"/>
                <w:sz w:val="21"/>
                <w:szCs w:val="21"/>
              </w:rPr>
              <w:t>±0.002Abs(190nm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～</w:t>
            </w:r>
            <w:r>
              <w:rPr>
                <w:rFonts w:ascii="宋体" w:hAnsi="宋体" w:eastAsia="宋体"/>
                <w:sz w:val="21"/>
                <w:szCs w:val="21"/>
              </w:rPr>
              <w:t>1100nm)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、基线漂移：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0.001Abs/h(500nm, 0Abs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预热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小时后</w:t>
            </w:r>
            <w:r>
              <w:rPr>
                <w:rFonts w:ascii="宋体" w:hAnsi="宋体" w:eastAsia="宋体"/>
                <w:sz w:val="21"/>
                <w:szCs w:val="21"/>
              </w:rPr>
              <w:t>)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、光度噪声：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±</w:t>
            </w:r>
            <w:r>
              <w:rPr>
                <w:rFonts w:ascii="宋体" w:hAnsi="宋体" w:eastAsia="宋体"/>
                <w:sz w:val="21"/>
                <w:szCs w:val="21"/>
              </w:rPr>
              <w:t>0.001Abs(500nm,0Abs 2nm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光谱带宽</w:t>
            </w:r>
            <w:r>
              <w:rPr>
                <w:rFonts w:ascii="宋体" w:hAnsi="宋体" w:eastAsia="宋体"/>
                <w:sz w:val="21"/>
                <w:szCs w:val="21"/>
              </w:rPr>
              <w:t>)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主要特点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、准双光束</w:t>
            </w:r>
            <w:r>
              <w:rPr>
                <w:rFonts w:ascii="宋体" w:hAnsi="宋体" w:eastAsia="宋体"/>
                <w:sz w:val="21"/>
                <w:szCs w:val="21"/>
              </w:rPr>
              <w:t>/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双光束光学系统保证了良好的稳定性；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、采用全息光栅实现了低杂散光；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、光度计主机不但可独立完成光度测量、定量测量、光谱扫描、</w:t>
            </w:r>
            <w:r>
              <w:rPr>
                <w:rFonts w:ascii="宋体" w:hAnsi="宋体" w:eastAsia="宋体"/>
                <w:sz w:val="21"/>
                <w:szCs w:val="21"/>
              </w:rPr>
              <w:t>DNA/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蛋白质测量及数据打印等各种功能，同时增加了专家数据库、三为维图谱分析、</w:t>
            </w:r>
            <w:r>
              <w:rPr>
                <w:rFonts w:ascii="宋体" w:hAnsi="宋体" w:eastAsia="宋体"/>
                <w:sz w:val="21"/>
                <w:szCs w:val="21"/>
              </w:rPr>
              <w:t>GLP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实验室规范等功能，适用于快速农药残留检测，环保、检验检疫等各个行业；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、自动化程度高，普通样品测量仅需两次按键；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、多种附件可供选择，仪器测量范围更加广泛；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、采用人性化机械结构及模块化电器设计理念，电器系统维护更加便捷；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、独创插座式钨灯和氘灯设计结构，免去换灯时光学调试步骤，使仪器调试、维护更加简单。</w:t>
            </w:r>
            <w:r>
              <w:rPr>
                <w:rFonts w:ascii="宋体" w:hAnsi="宋体" w:eastAsia="宋体"/>
                <w:sz w:val="21"/>
                <w:szCs w:val="21"/>
              </w:rPr>
              <w:t> </w:t>
            </w:r>
            <w:r>
              <w:rPr>
                <w:rFonts w:ascii="宋体" w:hAnsi="宋体" w:eastAsia="宋体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/>
                <w:sz w:val="21"/>
                <w:szCs w:val="21"/>
              </w:rPr>
              <w:t>自动八联池架可做多样品测量，可用于药物溶出度的</w:t>
            </w:r>
            <w:r>
              <w:rPr>
                <w:rFonts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个样品测量等；快速农药残留检测最多可同时测量个样品，大大提高了仪器检测速度。</w:t>
            </w:r>
          </w:p>
          <w:p>
            <w:pPr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配置包括：主机、八联池架附件、</w:t>
            </w:r>
            <w:r>
              <w:rPr>
                <w:rFonts w:ascii="宋体" w:hAnsi="宋体" w:eastAsia="宋体"/>
                <w:sz w:val="21"/>
                <w:szCs w:val="21"/>
              </w:rPr>
              <w:t>UV.WIN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正版控制软件、石英比色皿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只，电脑数据系统</w:t>
            </w:r>
            <w:r>
              <w:rPr>
                <w:rFonts w:ascii="宋体" w:hAnsi="宋体" w:eastAsia="宋体"/>
                <w:sz w:val="21"/>
                <w:szCs w:val="21"/>
              </w:rPr>
              <w:t xml:space="preserve"> 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套等全套配置</w:t>
            </w:r>
          </w:p>
          <w:p>
            <w:pPr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*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为确保质量，须提供厂家三年质保及供货承诺函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49890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  <w:u w:val="none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  <w:u w:val="none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49890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u w:val="none"/>
                <w:lang w:val="zh-TW" w:eastAsia="zh-TW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酶标仪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ELX800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（带</w:t>
            </w:r>
            <w:r>
              <w:rPr>
                <w:rFonts w:ascii="宋体" w:hAnsi="宋体" w:eastAsia="宋体"/>
                <w:sz w:val="21"/>
                <w:szCs w:val="21"/>
              </w:rPr>
              <w:t>PC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）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一、主要应用：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、酶联免疫吸附实验。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、酶动力学检测（乙酰胆碱酯酶、乳酸脱氢酶等）。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、酶活性相关分析（激酶、蛋白酶等）。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、细胞活性分析（</w:t>
            </w:r>
            <w:r>
              <w:rPr>
                <w:rFonts w:ascii="宋体" w:hAnsi="宋体" w:eastAsia="宋体"/>
                <w:sz w:val="21"/>
                <w:szCs w:val="21"/>
              </w:rPr>
              <w:t>MTT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XTT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IC50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、内毒素分析。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、凝集分析。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、细菌细胞生长密度检测。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、氮氧化物的测定。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、食品和环境检测。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、临床检测，血清分析。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二、常规参数：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、检测功能：吸收光。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、检测模式：终点法、动力学法、线性扫描法。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、孔板类型：</w:t>
            </w:r>
            <w:r>
              <w:rPr>
                <w:rFonts w:ascii="宋体" w:hAnsi="宋体" w:eastAsia="宋体"/>
                <w:sz w:val="21"/>
                <w:szCs w:val="21"/>
              </w:rPr>
              <w:t>6-96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孔板。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、软件：机载软件及</w:t>
            </w:r>
            <w:r>
              <w:rPr>
                <w:rFonts w:ascii="宋体" w:hAnsi="宋体" w:eastAsia="宋体"/>
                <w:sz w:val="21"/>
                <w:szCs w:val="21"/>
              </w:rPr>
              <w:t>Gen5RC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中文正版仪器控制软件（标配）。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、检测通道：</w:t>
            </w: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道（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检测通道，</w:t>
            </w: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参比通道）。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三、检测性能：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、光源：卤素灯。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、波长选择：滤光片。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*3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、波长范围：</w:t>
            </w:r>
            <w:r>
              <w:rPr>
                <w:rFonts w:ascii="宋体" w:hAnsi="宋体" w:eastAsia="宋体"/>
                <w:sz w:val="21"/>
                <w:szCs w:val="21"/>
              </w:rPr>
              <w:t>400-750nm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、带宽：</w:t>
            </w:r>
            <w:r>
              <w:rPr>
                <w:rFonts w:ascii="宋体" w:hAnsi="宋体" w:eastAsia="宋体"/>
                <w:sz w:val="21"/>
                <w:szCs w:val="21"/>
              </w:rPr>
              <w:t>10nm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范围：</w:t>
            </w:r>
            <w:r>
              <w:rPr>
                <w:rFonts w:ascii="宋体" w:hAnsi="宋体" w:eastAsia="宋体"/>
                <w:sz w:val="21"/>
                <w:szCs w:val="21"/>
              </w:rPr>
              <w:t>0-3OD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、分辨率：</w:t>
            </w:r>
            <w:r>
              <w:rPr>
                <w:rFonts w:ascii="宋体" w:hAnsi="宋体" w:eastAsia="宋体"/>
                <w:sz w:val="21"/>
                <w:szCs w:val="21"/>
              </w:rPr>
              <w:t>0.001OD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*7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、滤光轮：</w:t>
            </w:r>
            <w:r>
              <w:rPr>
                <w:rFonts w:ascii="宋体" w:hAnsi="宋体" w:eastAsia="宋体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位滤光轮。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、滤光片：</w:t>
            </w:r>
            <w:r>
              <w:rPr>
                <w:rFonts w:ascii="宋体" w:hAnsi="宋体" w:eastAsia="宋体"/>
                <w:sz w:val="21"/>
                <w:szCs w:val="21"/>
              </w:rPr>
              <w:t>405nm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450nm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490nm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630nm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（标配）。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准确性：＜</w:t>
            </w:r>
            <w:r>
              <w:rPr>
                <w:rFonts w:ascii="宋体" w:hAnsi="宋体" w:eastAsia="宋体"/>
                <w:sz w:val="21"/>
                <w:szCs w:val="21"/>
              </w:rPr>
              <w:t>1% @ 2 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重复性：＜</w:t>
            </w:r>
            <w:r>
              <w:rPr>
                <w:rFonts w:ascii="宋体" w:hAnsi="宋体" w:eastAsia="宋体"/>
                <w:sz w:val="21"/>
                <w:szCs w:val="21"/>
              </w:rPr>
              <w:t>0.5% @ 2 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sz w:val="21"/>
                <w:szCs w:val="21"/>
              </w:rPr>
              <w:t>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线性：＜</w:t>
            </w:r>
            <w:r>
              <w:rPr>
                <w:rFonts w:ascii="宋体" w:hAnsi="宋体" w:eastAsia="宋体"/>
                <w:sz w:val="21"/>
                <w:szCs w:val="21"/>
              </w:rPr>
              <w:t>1 % @ 2 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，＜</w:t>
            </w:r>
            <w:r>
              <w:rPr>
                <w:rFonts w:ascii="宋体" w:hAnsi="宋体" w:eastAsia="宋体"/>
                <w:sz w:val="21"/>
                <w:szCs w:val="21"/>
              </w:rPr>
              <w:t>3% @ 3 OD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*12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、检测速度：单波长</w:t>
            </w:r>
            <w:r>
              <w:rPr>
                <w:rFonts w:ascii="宋体" w:hAnsi="宋体" w:eastAsia="宋体"/>
                <w:sz w:val="21"/>
                <w:szCs w:val="21"/>
              </w:rPr>
              <w:t>30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秒。</w:t>
            </w:r>
          </w:p>
          <w:p>
            <w:pPr>
              <w:spacing w:after="0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13.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配置包括：主机、滤色片、数据系统</w:t>
            </w:r>
            <w:r>
              <w:rPr>
                <w:rFonts w:ascii="宋体" w:hAnsi="宋体" w:eastAsia="宋体"/>
                <w:sz w:val="21"/>
                <w:szCs w:val="21"/>
              </w:rPr>
              <w:t>PC 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台</w:t>
            </w:r>
          </w:p>
          <w:p>
            <w:pPr>
              <w:spacing w:after="0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1"/>
                <w:szCs w:val="21"/>
              </w:rPr>
              <w:t>*</w:t>
            </w: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为确保质量，须提供厂家三年质保及供货承诺函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38000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  <w:u w:val="none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u w:val="none"/>
                <w:lang w:val="zh-TW" w:eastAsia="zh-TW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/>
                <w:u w:val="none"/>
                <w:lang w:val="en-US"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38000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  <w:jc w:val="center"/>
        </w:trPr>
        <w:tc>
          <w:tcPr>
            <w:tcW w:w="7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/>
                <w:sz w:val="21"/>
                <w:szCs w:val="21"/>
              </w:rPr>
              <w:t>3</w:t>
            </w:r>
          </w:p>
        </w:tc>
        <w:tc>
          <w:tcPr>
            <w:tcW w:w="102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rPr>
                <w:rFonts w:hint="eastAsia" w:ascii="宋体" w:hAnsi="宋体" w:eastAsia="宋体"/>
                <w:sz w:val="21"/>
                <w:szCs w:val="21"/>
              </w:rPr>
              <w:t>显微镜</w:t>
            </w:r>
          </w:p>
        </w:tc>
        <w:tc>
          <w:tcPr>
            <w:tcW w:w="13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ascii="宋体" w:hAnsi="宋体" w:eastAsia="宋体" w:cs="宋体"/>
                <w:u w:val="none"/>
                <w:lang w:val="zh-TW" w:eastAsia="zh-TW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GD-50</w:t>
            </w:r>
          </w:p>
        </w:tc>
        <w:tc>
          <w:tcPr>
            <w:tcW w:w="63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*1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、采用独立光学系统，光路稳定可靠，清晰度高，成像质量好。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、大视野平场目镜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:PL10X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，视场数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18.5mm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  <w:shd w:val="clear" w:color="auto" w:fill="FFFFFF"/>
              </w:rPr>
              <w:t>双目镜带测微尺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*3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、物镜采用防霉新技术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高质量平场色差物镜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4X  NA=0.10 WD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≥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21.3mm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10X NA=0.25 WD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≥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 xml:space="preserve">6.40mm;40X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（弹簧）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 xml:space="preserve"> NA=0.65 WD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≥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0.48mm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100X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（弹簧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,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油）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 xml:space="preserve"> NA=1.25 WD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≥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0.15mm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、观察筒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:30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°观察头，铰链式双目，瞳距调节范围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50-75mm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、转换器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 xml:space="preserve">: 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内定位内倾斜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4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孔转换器；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*6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、载物台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低手位双层机械移动平台，面积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140x132mm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，行程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76X50mm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、聚光镜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 N.A.1.25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阿贝聚光镜组；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8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、调焦机构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粗调行程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25mm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，带松紧调节装置和机械式上限位装置；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*9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、照明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:100V-240V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开关电源，单颗高亮度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3W LED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（预定中心），光强连续可调；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10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.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显微镜目镜放大率准确度不低于±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0.45%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，左右两系统放大率差≤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0.03%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，接地阻抗≤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0.027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Ω；</w:t>
            </w:r>
          </w:p>
          <w:p>
            <w:pPr>
              <w:spacing w:after="0"/>
              <w:rPr>
                <w:rFonts w:ascii="宋体" w:hAnsi="宋体" w:eastAsia="宋体"/>
                <w:color w:val="000000"/>
                <w:sz w:val="21"/>
                <w:szCs w:val="21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11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、机体：长度：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263mm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；高度</w:t>
            </w: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:366mm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，符合人体工学，观察方便；</w:t>
            </w:r>
          </w:p>
          <w:p>
            <w:pPr>
              <w:spacing w:after="0"/>
              <w:rPr>
                <w:rFonts w:ascii="幼圆" w:hAnsi="宋体" w:eastAsia="幼圆"/>
                <w:sz w:val="24"/>
                <w:szCs w:val="24"/>
              </w:rPr>
            </w:pPr>
            <w:r>
              <w:rPr>
                <w:rFonts w:ascii="宋体" w:hAnsi="宋体" w:eastAsia="宋体"/>
                <w:color w:val="000000"/>
                <w:sz w:val="21"/>
                <w:szCs w:val="21"/>
              </w:rPr>
              <w:t>*13</w:t>
            </w:r>
            <w:r>
              <w:rPr>
                <w:rFonts w:hint="eastAsia" w:ascii="宋体" w:hAnsi="宋体" w:eastAsia="宋体"/>
                <w:color w:val="000000"/>
                <w:sz w:val="21"/>
                <w:szCs w:val="21"/>
              </w:rPr>
              <w:t>、质保三年，提供厂家质保及售后承诺书</w:t>
            </w:r>
          </w:p>
        </w:tc>
        <w:tc>
          <w:tcPr>
            <w:tcW w:w="9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/>
                <w:sz w:val="21"/>
                <w:szCs w:val="21"/>
              </w:rPr>
              <w:t>3800</w:t>
            </w:r>
          </w:p>
        </w:tc>
        <w:tc>
          <w:tcPr>
            <w:tcW w:w="103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1</w:t>
            </w:r>
          </w:p>
        </w:tc>
        <w:tc>
          <w:tcPr>
            <w:tcW w:w="10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rPr>
                <w:rFonts w:hint="eastAsia" w:ascii="宋体" w:hAnsi="宋体" w:eastAsia="宋体"/>
                <w:sz w:val="21"/>
                <w:szCs w:val="21"/>
              </w:rPr>
              <w:t>台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r>
              <w:rPr>
                <w:rFonts w:ascii="宋体" w:hAnsi="宋体" w:eastAsia="宋体"/>
                <w:sz w:val="21"/>
                <w:szCs w:val="21"/>
              </w:rPr>
              <w:t>3800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2490" w:type="dxa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jc w:val="center"/>
              <w:rPr>
                <w:color w:val="000000"/>
                <w:kern w:val="2"/>
                <w:sz w:val="21"/>
                <w:szCs w:val="21"/>
                <w:u w:color="000000"/>
              </w:rPr>
            </w:pPr>
            <w:r>
              <w:rPr>
                <w:rFonts w:hint="eastAsia"/>
                <w:color w:val="000000"/>
                <w:kern w:val="2"/>
                <w:sz w:val="21"/>
                <w:szCs w:val="21"/>
                <w:u w:color="000000"/>
              </w:rPr>
              <w:t>合计</w:t>
            </w:r>
          </w:p>
        </w:tc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color w:val="000000"/>
                <w:kern w:val="2"/>
                <w:sz w:val="21"/>
                <w:szCs w:val="21"/>
                <w:u w:color="000000"/>
                <w:lang w:eastAsia="zh-CN"/>
              </w:rPr>
            </w:pPr>
            <w:r>
              <w:rPr>
                <w:rFonts w:hint="eastAsia"/>
                <w:u w:val="none"/>
                <w:lang w:val="en-US" w:eastAsia="zh-CN"/>
              </w:rPr>
              <w:t>91690</w:t>
            </w:r>
          </w:p>
        </w:tc>
      </w:tr>
    </w:tbl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</w:p>
    <w:p>
      <w:pPr>
        <w:pStyle w:val="47"/>
        <w:widowControl/>
        <w:ind w:firstLine="1050" w:firstLineChars="500"/>
        <w:jc w:val="left"/>
        <w:rPr>
          <w:rFonts w:hint="eastAsia" w:cs="Times New Roman"/>
          <w:u w:val="none"/>
          <w:lang w:val="zh-TW"/>
        </w:rPr>
      </w:pPr>
      <w:r>
        <w:rPr>
          <w:rFonts w:hint="eastAsia" w:cs="Times New Roman"/>
          <w:u w:val="none"/>
          <w:lang w:val="zh-TW"/>
        </w:rPr>
        <w:t>注：以上报价含税费、运费、安装费</w:t>
      </w:r>
    </w:p>
    <w:p>
      <w:pPr>
        <w:pStyle w:val="47"/>
        <w:widowControl/>
        <w:jc w:val="left"/>
        <w:rPr>
          <w:rFonts w:hint="eastAsia" w:cs="Times New Roman"/>
          <w:u w:val="none"/>
          <w:lang w:val="zh-TW"/>
        </w:rPr>
      </w:pPr>
    </w:p>
    <w:sectPr>
      <w:pgSz w:w="16840" w:h="11900" w:orient="landscape"/>
      <w:pgMar w:top="680" w:right="851" w:bottom="680" w:left="85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5AB1"/>
    <w:rsid w:val="00005524"/>
    <w:rsid w:val="00015C6C"/>
    <w:rsid w:val="00032A3B"/>
    <w:rsid w:val="00041CCC"/>
    <w:rsid w:val="00071B14"/>
    <w:rsid w:val="00077AF5"/>
    <w:rsid w:val="000950C5"/>
    <w:rsid w:val="000D2EAF"/>
    <w:rsid w:val="000E5872"/>
    <w:rsid w:val="000E7123"/>
    <w:rsid w:val="00116FE9"/>
    <w:rsid w:val="00127434"/>
    <w:rsid w:val="0018541E"/>
    <w:rsid w:val="001B12CD"/>
    <w:rsid w:val="00204D93"/>
    <w:rsid w:val="00216743"/>
    <w:rsid w:val="00254285"/>
    <w:rsid w:val="002977C4"/>
    <w:rsid w:val="002D5CF1"/>
    <w:rsid w:val="00310F0A"/>
    <w:rsid w:val="00340E4D"/>
    <w:rsid w:val="003F2C65"/>
    <w:rsid w:val="0044071E"/>
    <w:rsid w:val="00487116"/>
    <w:rsid w:val="00513B67"/>
    <w:rsid w:val="0055405A"/>
    <w:rsid w:val="005629E2"/>
    <w:rsid w:val="005746CE"/>
    <w:rsid w:val="00574B72"/>
    <w:rsid w:val="00577B01"/>
    <w:rsid w:val="005C5FD6"/>
    <w:rsid w:val="0065179B"/>
    <w:rsid w:val="006646C9"/>
    <w:rsid w:val="0067354A"/>
    <w:rsid w:val="00686E0F"/>
    <w:rsid w:val="006A7D0C"/>
    <w:rsid w:val="006B07C5"/>
    <w:rsid w:val="006E03B8"/>
    <w:rsid w:val="006E2372"/>
    <w:rsid w:val="007207DB"/>
    <w:rsid w:val="00731DF9"/>
    <w:rsid w:val="008022F8"/>
    <w:rsid w:val="0083587A"/>
    <w:rsid w:val="008515E7"/>
    <w:rsid w:val="00894244"/>
    <w:rsid w:val="00897141"/>
    <w:rsid w:val="008E2BA7"/>
    <w:rsid w:val="00901CBE"/>
    <w:rsid w:val="00922698"/>
    <w:rsid w:val="00926C9A"/>
    <w:rsid w:val="00931BF4"/>
    <w:rsid w:val="00941CC6"/>
    <w:rsid w:val="0097060C"/>
    <w:rsid w:val="00973B92"/>
    <w:rsid w:val="009750EC"/>
    <w:rsid w:val="00995AAF"/>
    <w:rsid w:val="009A1BA3"/>
    <w:rsid w:val="009C01BA"/>
    <w:rsid w:val="00A02E61"/>
    <w:rsid w:val="00A13EA3"/>
    <w:rsid w:val="00A2305B"/>
    <w:rsid w:val="00A2753D"/>
    <w:rsid w:val="00A53D9C"/>
    <w:rsid w:val="00A561AD"/>
    <w:rsid w:val="00A6439D"/>
    <w:rsid w:val="00A75612"/>
    <w:rsid w:val="00B23905"/>
    <w:rsid w:val="00B52D7B"/>
    <w:rsid w:val="00B62CF5"/>
    <w:rsid w:val="00B70200"/>
    <w:rsid w:val="00BA595B"/>
    <w:rsid w:val="00BC2198"/>
    <w:rsid w:val="00C62264"/>
    <w:rsid w:val="00CA58A7"/>
    <w:rsid w:val="00D06D2D"/>
    <w:rsid w:val="00D07061"/>
    <w:rsid w:val="00D20897"/>
    <w:rsid w:val="00D53DC1"/>
    <w:rsid w:val="00D61766"/>
    <w:rsid w:val="00D64297"/>
    <w:rsid w:val="00DB4F13"/>
    <w:rsid w:val="00DF2A5A"/>
    <w:rsid w:val="00E23789"/>
    <w:rsid w:val="00E34825"/>
    <w:rsid w:val="00E429A6"/>
    <w:rsid w:val="00E46D12"/>
    <w:rsid w:val="00E55AB1"/>
    <w:rsid w:val="00E607ED"/>
    <w:rsid w:val="00EA150B"/>
    <w:rsid w:val="00F105B1"/>
    <w:rsid w:val="00F23016"/>
    <w:rsid w:val="00F44CB6"/>
    <w:rsid w:val="00F905F9"/>
    <w:rsid w:val="00FA394C"/>
    <w:rsid w:val="00FC50F2"/>
    <w:rsid w:val="00FD04EF"/>
    <w:rsid w:val="00FD0D02"/>
    <w:rsid w:val="00FF5433"/>
    <w:rsid w:val="01497135"/>
    <w:rsid w:val="086C2185"/>
    <w:rsid w:val="0EB645D1"/>
    <w:rsid w:val="0EFC153A"/>
    <w:rsid w:val="15812212"/>
    <w:rsid w:val="1B680F8A"/>
    <w:rsid w:val="4A20113D"/>
    <w:rsid w:val="4AE01A8B"/>
    <w:rsid w:val="5E1C151E"/>
    <w:rsid w:val="619769BF"/>
    <w:rsid w:val="6202525B"/>
    <w:rsid w:val="758A3A3B"/>
    <w:rsid w:val="76A35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ajorHAnsi" w:hAnsiTheme="majorHAnsi" w:eastAsiaTheme="majorEastAsia" w:cstheme="maj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rPr>
      <w:rFonts w:ascii="Times New Roman" w:hAnsi="Times New Roman" w:cs="Times New Roman" w:eastAsiaTheme="minorEastAsia"/>
      <w:sz w:val="24"/>
      <w:szCs w:val="24"/>
      <w:lang w:val="en-US" w:eastAsia="en-US" w:bidi="ar-SA"/>
    </w:rPr>
  </w:style>
  <w:style w:type="paragraph" w:styleId="2">
    <w:name w:val="heading 1"/>
    <w:basedOn w:val="1"/>
    <w:next w:val="1"/>
    <w:link w:val="20"/>
    <w:qFormat/>
    <w:uiPriority w:val="9"/>
    <w:pPr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sz w:val="28"/>
      <w:szCs w:val="28"/>
      <w:lang w:eastAsia="zh-CN"/>
    </w:rPr>
  </w:style>
  <w:style w:type="paragraph" w:styleId="3">
    <w:name w:val="heading 2"/>
    <w:basedOn w:val="1"/>
    <w:next w:val="1"/>
    <w:link w:val="21"/>
    <w:unhideWhenUsed/>
    <w:qFormat/>
    <w:uiPriority w:val="9"/>
    <w:pPr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lang w:eastAsia="zh-CN"/>
    </w:rPr>
  </w:style>
  <w:style w:type="paragraph" w:styleId="4">
    <w:name w:val="heading 3"/>
    <w:basedOn w:val="1"/>
    <w:next w:val="1"/>
    <w:link w:val="22"/>
    <w:unhideWhenUsed/>
    <w:qFormat/>
    <w:uiPriority w:val="9"/>
    <w:pPr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lang w:eastAsia="zh-CN"/>
    </w:rPr>
  </w:style>
  <w:style w:type="paragraph" w:styleId="5">
    <w:name w:val="heading 4"/>
    <w:basedOn w:val="1"/>
    <w:next w:val="1"/>
    <w:link w:val="23"/>
    <w:unhideWhenUsed/>
    <w:qFormat/>
    <w:uiPriority w:val="9"/>
    <w:pPr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6">
    <w:name w:val="heading 5"/>
    <w:basedOn w:val="1"/>
    <w:next w:val="1"/>
    <w:link w:val="24"/>
    <w:unhideWhenUsed/>
    <w:qFormat/>
    <w:uiPriority w:val="9"/>
    <w:pPr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sz w:val="22"/>
      <w:szCs w:val="22"/>
      <w:lang w:eastAsia="zh-CN"/>
    </w:rPr>
  </w:style>
  <w:style w:type="paragraph" w:styleId="7">
    <w:name w:val="heading 6"/>
    <w:basedOn w:val="1"/>
    <w:next w:val="1"/>
    <w:link w:val="25"/>
    <w:unhideWhenUsed/>
    <w:qFormat/>
    <w:uiPriority w:val="9"/>
    <w:pPr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sz w:val="22"/>
      <w:szCs w:val="22"/>
      <w:lang w:eastAsia="zh-CN"/>
    </w:rPr>
  </w:style>
  <w:style w:type="paragraph" w:styleId="8">
    <w:name w:val="heading 7"/>
    <w:basedOn w:val="1"/>
    <w:next w:val="1"/>
    <w:link w:val="26"/>
    <w:unhideWhenUsed/>
    <w:qFormat/>
    <w:uiPriority w:val="9"/>
    <w:pPr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sz w:val="22"/>
      <w:szCs w:val="22"/>
      <w:lang w:eastAsia="zh-CN"/>
    </w:rPr>
  </w:style>
  <w:style w:type="paragraph" w:styleId="9">
    <w:name w:val="heading 8"/>
    <w:basedOn w:val="1"/>
    <w:next w:val="1"/>
    <w:link w:val="27"/>
    <w:unhideWhenUsed/>
    <w:qFormat/>
    <w:uiPriority w:val="9"/>
    <w:pPr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sz w:val="20"/>
      <w:szCs w:val="20"/>
      <w:lang w:eastAsia="zh-CN"/>
    </w:rPr>
  </w:style>
  <w:style w:type="paragraph" w:styleId="10">
    <w:name w:val="heading 9"/>
    <w:basedOn w:val="1"/>
    <w:next w:val="1"/>
    <w:link w:val="28"/>
    <w:unhideWhenUsed/>
    <w:qFormat/>
    <w:uiPriority w:val="9"/>
    <w:pPr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sz w:val="20"/>
      <w:szCs w:val="20"/>
      <w:lang w:eastAsia="zh-CN"/>
    </w:rPr>
  </w:style>
  <w:style w:type="character" w:default="1" w:styleId="16">
    <w:name w:val="Default Paragraph Font"/>
    <w:unhideWhenUsed/>
    <w:qFormat/>
    <w:uiPriority w:val="1"/>
  </w:style>
  <w:style w:type="table" w:default="1" w:styleId="1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caps/>
      <w:spacing w:val="10"/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spacing w:after="200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Theme="majorHAnsi" w:hAnsiTheme="majorHAnsi" w:eastAsiaTheme="majorEastAsia" w:cstheme="majorBidi"/>
      <w:sz w:val="18"/>
      <w:szCs w:val="18"/>
      <w:lang w:eastAsia="zh-CN"/>
    </w:rPr>
  </w:style>
  <w:style w:type="paragraph" w:styleId="14">
    <w:name w:val="Subtitle"/>
    <w:basedOn w:val="1"/>
    <w:next w:val="1"/>
    <w:link w:val="30"/>
    <w:qFormat/>
    <w:uiPriority w:val="11"/>
    <w:pPr>
      <w:spacing w:after="560"/>
      <w:jc w:val="center"/>
    </w:pPr>
    <w:rPr>
      <w:rFonts w:asciiTheme="majorHAnsi" w:hAnsiTheme="majorHAnsi" w:eastAsiaTheme="majorEastAsia" w:cstheme="majorBidi"/>
      <w:caps/>
      <w:spacing w:val="20"/>
      <w:sz w:val="18"/>
      <w:szCs w:val="18"/>
      <w:lang w:eastAsia="zh-CN"/>
    </w:rPr>
  </w:style>
  <w:style w:type="paragraph" w:styleId="15">
    <w:name w:val="Title"/>
    <w:basedOn w:val="1"/>
    <w:next w:val="1"/>
    <w:link w:val="29"/>
    <w:qFormat/>
    <w:uiPriority w:val="10"/>
    <w:pPr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sz w:val="44"/>
      <w:szCs w:val="44"/>
      <w:lang w:eastAsia="zh-CN"/>
    </w:rPr>
  </w:style>
  <w:style w:type="character" w:styleId="17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18">
    <w:name w:val="Emphasis"/>
    <w:qFormat/>
    <w:uiPriority w:val="20"/>
    <w:rPr>
      <w:caps/>
      <w:spacing w:val="5"/>
      <w:sz w:val="20"/>
      <w:szCs w:val="20"/>
    </w:rPr>
  </w:style>
  <w:style w:type="character" w:customStyle="1" w:styleId="20">
    <w:name w:val="标题 1 Char"/>
    <w:basedOn w:val="16"/>
    <w:link w:val="2"/>
    <w:qFormat/>
    <w:uiPriority w:val="9"/>
    <w:rPr>
      <w:caps/>
      <w:color w:val="632523" w:themeColor="accent2" w:themeShade="80"/>
      <w:spacing w:val="20"/>
      <w:sz w:val="28"/>
      <w:szCs w:val="28"/>
    </w:rPr>
  </w:style>
  <w:style w:type="character" w:customStyle="1" w:styleId="21">
    <w:name w:val="标题 2 Char"/>
    <w:basedOn w:val="16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2">
    <w:name w:val="标题 3 Char"/>
    <w:basedOn w:val="16"/>
    <w:link w:val="4"/>
    <w:semiHidden/>
    <w:qFormat/>
    <w:uiPriority w:val="9"/>
    <w:rPr>
      <w:caps/>
      <w:color w:val="632523" w:themeColor="accent2" w:themeShade="80"/>
      <w:sz w:val="24"/>
      <w:szCs w:val="24"/>
    </w:rPr>
  </w:style>
  <w:style w:type="character" w:customStyle="1" w:styleId="23">
    <w:name w:val="标题 4 Char"/>
    <w:basedOn w:val="16"/>
    <w:link w:val="5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4">
    <w:name w:val="标题 5 Char"/>
    <w:basedOn w:val="16"/>
    <w:link w:val="6"/>
    <w:semiHidden/>
    <w:qFormat/>
    <w:uiPriority w:val="9"/>
    <w:rPr>
      <w:caps/>
      <w:color w:val="632523" w:themeColor="accent2" w:themeShade="80"/>
      <w:spacing w:val="10"/>
    </w:rPr>
  </w:style>
  <w:style w:type="character" w:customStyle="1" w:styleId="25">
    <w:name w:val="标题 6 Char"/>
    <w:basedOn w:val="16"/>
    <w:link w:val="7"/>
    <w:semiHidden/>
    <w:qFormat/>
    <w:uiPriority w:val="9"/>
    <w:rPr>
      <w:caps/>
      <w:color w:val="953735" w:themeColor="accent2" w:themeShade="BF"/>
      <w:spacing w:val="10"/>
    </w:rPr>
  </w:style>
  <w:style w:type="character" w:customStyle="1" w:styleId="26">
    <w:name w:val="标题 7 Char"/>
    <w:basedOn w:val="16"/>
    <w:link w:val="8"/>
    <w:semiHidden/>
    <w:uiPriority w:val="9"/>
    <w:rPr>
      <w:i/>
      <w:iCs/>
      <w:caps/>
      <w:color w:val="953735" w:themeColor="accent2" w:themeShade="BF"/>
      <w:spacing w:val="10"/>
    </w:rPr>
  </w:style>
  <w:style w:type="character" w:customStyle="1" w:styleId="27">
    <w:name w:val="标题 8 Char"/>
    <w:basedOn w:val="16"/>
    <w:link w:val="9"/>
    <w:semiHidden/>
    <w:qFormat/>
    <w:uiPriority w:val="9"/>
    <w:rPr>
      <w:caps/>
      <w:spacing w:val="10"/>
      <w:sz w:val="20"/>
      <w:szCs w:val="20"/>
    </w:rPr>
  </w:style>
  <w:style w:type="character" w:customStyle="1" w:styleId="28">
    <w:name w:val="标题 9 Char"/>
    <w:basedOn w:val="16"/>
    <w:link w:val="10"/>
    <w:semiHidden/>
    <w:qFormat/>
    <w:uiPriority w:val="9"/>
    <w:rPr>
      <w:i/>
      <w:iCs/>
      <w:caps/>
      <w:spacing w:val="10"/>
      <w:sz w:val="20"/>
      <w:szCs w:val="20"/>
    </w:rPr>
  </w:style>
  <w:style w:type="character" w:customStyle="1" w:styleId="29">
    <w:name w:val="标题 Char"/>
    <w:basedOn w:val="16"/>
    <w:link w:val="15"/>
    <w:qFormat/>
    <w:uiPriority w:val="10"/>
    <w:rPr>
      <w:caps/>
      <w:color w:val="632523" w:themeColor="accent2" w:themeShade="80"/>
      <w:spacing w:val="50"/>
      <w:sz w:val="44"/>
      <w:szCs w:val="44"/>
    </w:rPr>
  </w:style>
  <w:style w:type="character" w:customStyle="1" w:styleId="30">
    <w:name w:val="副标题 Char"/>
    <w:basedOn w:val="16"/>
    <w:link w:val="14"/>
    <w:qFormat/>
    <w:uiPriority w:val="11"/>
    <w:rPr>
      <w:caps/>
      <w:spacing w:val="20"/>
      <w:sz w:val="18"/>
      <w:szCs w:val="18"/>
    </w:rPr>
  </w:style>
  <w:style w:type="paragraph" w:customStyle="1" w:styleId="31">
    <w:name w:val="无间隔1"/>
    <w:basedOn w:val="1"/>
    <w:link w:val="32"/>
    <w:qFormat/>
    <w:uiPriority w:val="1"/>
    <w:rPr>
      <w:rFonts w:asciiTheme="majorHAnsi" w:hAnsiTheme="majorHAnsi" w:eastAsiaTheme="majorEastAsia" w:cstheme="majorBidi"/>
      <w:sz w:val="22"/>
      <w:szCs w:val="22"/>
      <w:lang w:eastAsia="zh-CN"/>
    </w:rPr>
  </w:style>
  <w:style w:type="character" w:customStyle="1" w:styleId="32">
    <w:name w:val="无间隔 Char"/>
    <w:basedOn w:val="16"/>
    <w:link w:val="31"/>
    <w:qFormat/>
    <w:uiPriority w:val="1"/>
  </w:style>
  <w:style w:type="paragraph" w:customStyle="1" w:styleId="33">
    <w:name w:val="列出段落1"/>
    <w:basedOn w:val="1"/>
    <w:qFormat/>
    <w:uiPriority w:val="34"/>
    <w:pPr>
      <w:spacing w:after="200" w:line="252" w:lineRule="auto"/>
      <w:ind w:left="720"/>
      <w:contextualSpacing/>
    </w:pPr>
    <w:rPr>
      <w:rFonts w:asciiTheme="majorHAnsi" w:hAnsiTheme="majorHAnsi" w:eastAsiaTheme="majorEastAsia" w:cstheme="majorBidi"/>
      <w:sz w:val="22"/>
      <w:szCs w:val="22"/>
      <w:lang w:eastAsia="zh-CN"/>
    </w:rPr>
  </w:style>
  <w:style w:type="paragraph" w:customStyle="1" w:styleId="34">
    <w:name w:val="引用1"/>
    <w:basedOn w:val="1"/>
    <w:next w:val="1"/>
    <w:link w:val="35"/>
    <w:qFormat/>
    <w:uiPriority w:val="29"/>
    <w:pPr>
      <w:spacing w:after="200" w:line="252" w:lineRule="auto"/>
    </w:pPr>
    <w:rPr>
      <w:rFonts w:asciiTheme="majorHAnsi" w:hAnsiTheme="majorHAnsi" w:eastAsiaTheme="majorEastAsia" w:cstheme="majorBidi"/>
      <w:i/>
      <w:iCs/>
      <w:sz w:val="22"/>
      <w:szCs w:val="22"/>
      <w:lang w:eastAsia="zh-CN"/>
    </w:rPr>
  </w:style>
  <w:style w:type="character" w:customStyle="1" w:styleId="35">
    <w:name w:val="引用 Char"/>
    <w:basedOn w:val="16"/>
    <w:link w:val="34"/>
    <w:qFormat/>
    <w:uiPriority w:val="29"/>
    <w:rPr>
      <w:i/>
      <w:iCs/>
    </w:rPr>
  </w:style>
  <w:style w:type="paragraph" w:customStyle="1" w:styleId="36">
    <w:name w:val="明显引用1"/>
    <w:basedOn w:val="1"/>
    <w:next w:val="1"/>
    <w:link w:val="37"/>
    <w:qFormat/>
    <w:uiPriority w:val="30"/>
    <w:pPr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sz w:val="20"/>
      <w:szCs w:val="20"/>
      <w:lang w:eastAsia="zh-CN"/>
    </w:rPr>
  </w:style>
  <w:style w:type="character" w:customStyle="1" w:styleId="37">
    <w:name w:val="明显引用 Char"/>
    <w:basedOn w:val="16"/>
    <w:link w:val="36"/>
    <w:qFormat/>
    <w:uiPriority w:val="30"/>
    <w:rPr>
      <w:caps/>
      <w:color w:val="632523" w:themeColor="accent2" w:themeShade="80"/>
      <w:spacing w:val="5"/>
      <w:sz w:val="20"/>
      <w:szCs w:val="20"/>
    </w:rPr>
  </w:style>
  <w:style w:type="character" w:customStyle="1" w:styleId="38">
    <w:name w:val="不明显强调1"/>
    <w:qFormat/>
    <w:uiPriority w:val="19"/>
    <w:rPr>
      <w:i/>
      <w:iCs/>
    </w:rPr>
  </w:style>
  <w:style w:type="character" w:customStyle="1" w:styleId="39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0">
    <w:name w:val="不明显参考1"/>
    <w:basedOn w:val="16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1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2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3">
    <w:name w:val="TOC 标题1"/>
    <w:basedOn w:val="2"/>
    <w:next w:val="1"/>
    <w:unhideWhenUsed/>
    <w:qFormat/>
    <w:uiPriority w:val="39"/>
    <w:pPr>
      <w:outlineLvl w:val="9"/>
    </w:pPr>
    <w:rPr>
      <w:lang w:bidi="en-US"/>
    </w:rPr>
  </w:style>
  <w:style w:type="character" w:customStyle="1" w:styleId="44">
    <w:name w:val="页眉 Char"/>
    <w:basedOn w:val="16"/>
    <w:link w:val="13"/>
    <w:qFormat/>
    <w:uiPriority w:val="99"/>
    <w:rPr>
      <w:sz w:val="18"/>
      <w:szCs w:val="18"/>
    </w:rPr>
  </w:style>
  <w:style w:type="character" w:customStyle="1" w:styleId="45">
    <w:name w:val="页脚 Char"/>
    <w:basedOn w:val="16"/>
    <w:link w:val="12"/>
    <w:qFormat/>
    <w:uiPriority w:val="99"/>
    <w:rPr>
      <w:sz w:val="18"/>
      <w:szCs w:val="18"/>
    </w:rPr>
  </w:style>
  <w:style w:type="table" w:customStyle="1" w:styleId="46">
    <w:name w:val="Table Normal"/>
    <w:qFormat/>
    <w:uiPriority w:val="0"/>
    <w:rPr>
      <w:rFonts w:ascii="Times New Roman" w:hAnsi="Times New Roman" w:eastAsia="宋体" w:cs="Times New Roman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7">
    <w:name w:val="正文 A"/>
    <w:qFormat/>
    <w:uiPriority w:val="0"/>
    <w:pPr>
      <w:widowControl w:val="0"/>
      <w:jc w:val="both"/>
    </w:pPr>
    <w:rPr>
      <w:rFonts w:ascii="Times New Roman" w:hAnsi="Times New Roman" w:cs="Arial Unicode MS" w:eastAsiaTheme="minorEastAsia"/>
      <w:color w:val="000000"/>
      <w:kern w:val="2"/>
      <w:sz w:val="21"/>
      <w:szCs w:val="21"/>
      <w:u w:val="double"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121</Words>
  <Characters>693</Characters>
  <Lines>5</Lines>
  <Paragraphs>1</Paragraphs>
  <ScaleCrop>false</ScaleCrop>
  <LinksUpToDate>false</LinksUpToDate>
  <CharactersWithSpaces>813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2017-03-24T09:00:00Z</dcterms:created>
  <dc:creator>AutoBVT</dc:creator>
  <cp:lastModifiedBy>王俊</cp:lastModifiedBy>
  <dcterms:modified xsi:type="dcterms:W3CDTF">2017-11-07T01:38:13Z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